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36"/>
          <w:szCs w:val="36"/>
        </w:rPr>
      </w:pPr>
      <w:r>
        <w:rPr>
          <w:rFonts w:ascii="Syntax-Bold" w:hAnsi="Syntax-Bold" w:cs="Syntax-Bold"/>
          <w:b/>
          <w:bCs/>
          <w:color w:val="231F20"/>
          <w:sz w:val="36"/>
          <w:szCs w:val="36"/>
        </w:rPr>
        <w:t>4 Voeren in de praktijk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36"/>
          <w:szCs w:val="36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b/>
          <w:bCs/>
          <w:color w:val="231F20"/>
          <w:sz w:val="24"/>
          <w:szCs w:val="24"/>
        </w:rPr>
      </w:pPr>
      <w:r w:rsidRPr="0032446A">
        <w:rPr>
          <w:rFonts w:ascii="Syntax-Black" w:hAnsi="Syntax-Black" w:cs="Syntax-Black"/>
          <w:b/>
          <w:bCs/>
          <w:color w:val="231F20"/>
          <w:sz w:val="24"/>
          <w:szCs w:val="24"/>
        </w:rPr>
        <w:t>Oriëntatie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Een paard zet voedingsstoffen om in energie. De behoefte aan energie is niet constant.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Een werkend paard bijvoorbeeld gebruikt veel meer energie voor spierbeweging dan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een grazend paard. Een fokmerrie gebruikt extra energie voor melkproductie. De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energiebehoefte van een paard en het energieaanbod vanuit de voeding spelen een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sleutelrol in het beoordelen van een rantsoen.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Als je weet wat voor werk je paard doet en welk ruwvoer en krachtvoer het nodig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heeft, kun je een rantsoen gaan samenstellen. Dit rantsoen kun je zelf bepalen. De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volgende stap is hoe vaak en wanneer je moet voeren.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24"/>
          <w:szCs w:val="24"/>
        </w:rPr>
      </w:pPr>
      <w:r w:rsidRPr="0032446A">
        <w:rPr>
          <w:rFonts w:ascii="Syntax-Bold" w:hAnsi="Syntax-Bold" w:cs="Syntax-Bold"/>
          <w:b/>
          <w:bCs/>
          <w:color w:val="231F20"/>
          <w:sz w:val="24"/>
          <w:szCs w:val="24"/>
        </w:rPr>
        <w:t>4.1 Alles draait om energie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De voedingsbehoefte van paarden wordt uitgedrukt in energie. Hoe goed een paard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alle energie in het voer gebruikt, is afhankelijk van het type voer dat je geeft en hoe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een paard dit verteert. Over de hele wereld worden verschillende eenheden voor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energie gebruikt. In Nederland is dit de eenheid: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EWpa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 (Energie Waarde paarden). In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Frankrijk gebruikt men UFC en in Engeland en Duitsland spreekt men over Megajoules.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Zolang dezelfde eenheid wordt gebruikt voor de berekeningen van de behoefte van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een paard en de </w:t>
      </w: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 xml:space="preserve">voederwaarden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in het rantsoen, maakt de keuze voor een eenheid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>
        <w:rPr>
          <w:rFonts w:ascii="Syntax-Roman" w:hAnsi="Syntax-Roman" w:cs="Syntax-Roman"/>
          <w:noProof/>
          <w:color w:val="231F20"/>
          <w:sz w:val="24"/>
          <w:szCs w:val="24"/>
          <w:lang w:eastAsia="nl-NL"/>
        </w:rPr>
        <w:drawing>
          <wp:inline distT="0" distB="0" distL="0" distR="0">
            <wp:extent cx="3114675" cy="232410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4.1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in de praktijk weinig uit. Ook voor de behoefte aan eiwitten worden in diverse landen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verschillende eenheden gebruikt. In Nederland is de eenheid voor eiwit: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VREp</w:t>
      </w:r>
      <w:proofErr w:type="spellEnd"/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(verteerbaar ruw eiwit paarden).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24"/>
          <w:szCs w:val="24"/>
        </w:rPr>
      </w:pPr>
      <w:r w:rsidRPr="0032446A">
        <w:rPr>
          <w:rFonts w:ascii="Syntax-Bold" w:hAnsi="Syntax-Bold" w:cs="Syntax-Bold"/>
          <w:b/>
          <w:bCs/>
          <w:color w:val="231F20"/>
          <w:sz w:val="24"/>
          <w:szCs w:val="24"/>
        </w:rPr>
        <w:t>4.2 Hoeveel kilogram moet mijn paard eten?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Een paard moet een bepaalde hoeveelheid </w:t>
      </w: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 xml:space="preserve">droge stof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per dag eten. Hiermee houdt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het dier zijn </w:t>
      </w: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 xml:space="preserve">verteringsstelsel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gezond en wordt voldaan aan de kauwbehoefte. Maar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je weet nooit exact hoeveel droge stof er zit in het voer dat je geeft. Om daar achter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te komen moet je tabellen lezen en berekeningen maken, en dat is niet handig.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Daarom gebruiken we de term ‘droog voer’. Heel veel voedermiddelen voor paarden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lastRenderedPageBreak/>
        <w:t>vallen in deze categorie. Zo heeft droogvoer een drogestofgehalte van 80 tot 95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procent, bijvoorbeeld hooi, granen, brok,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muesli’s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>, gedroogde luzerne, stro 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voordroogkuil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 dat handdroog is bij opening van de baal. Droog voer is dus niet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hetzelfde als droge stof.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Ga bij berekeningen altijd uit van de volgende regels: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1 Een paard heeft per dag ongeveer 2 procent (1,6 tot 2,4 procent) van zijn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lichaamsgewicht nodig aan droog voer. 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Voorbeeld: een paard van 500 kg heeft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10 kg droog voer per dag nodig. Bij 80 procent ruwvoer is dit 8 kg hooi (10 kg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x 80 procent) plus 20 procent = 2 kg brokken.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2 Als je vochtig voer geeft (kuilgras) dat nat aanvoelt bij opening van de baal,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moet je 1,2 keer zo veel geven als hooi. In het voorbeeld zou dit 8 x 1,2 = 10 kg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vochtig kuilgras zijn.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3 Voor nat voer geldt dat een paard vier keer zo veel kan eten. Zo kan het 4 tot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5 kg vers gras eten in plaats van 1 kg droog voer.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4 Droog voer is niet altijd structuurrijk voer. Het aandeel structuurrijk droog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ruwvoer moet minstens 1,2 procent van het lichaamsgewicht zijn. Als een paard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heel veel energie nodig heeft, kun je dus niet onbeperkt de verhouding tussen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ruwvoer en krachtvoer veranderen. In dit geval kan een paard tot 2,4 procent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van zijn lichaamsgewicht in droog voer krijgen.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jc w:val="center"/>
        <w:rPr>
          <w:rFonts w:ascii="Syntax-Roman" w:hAnsi="Syntax-Roman" w:cs="Syntax-Roman"/>
          <w:color w:val="231F20"/>
          <w:sz w:val="24"/>
          <w:szCs w:val="24"/>
        </w:rPr>
      </w:pPr>
      <w:r>
        <w:rPr>
          <w:rFonts w:ascii="Syntax-Roman" w:hAnsi="Syntax-Roman" w:cs="Syntax-Roman"/>
          <w:noProof/>
          <w:color w:val="231F20"/>
          <w:sz w:val="24"/>
          <w:szCs w:val="24"/>
          <w:lang w:eastAsia="nl-NL"/>
        </w:rPr>
        <w:drawing>
          <wp:inline distT="0" distB="0" distL="0" distR="0">
            <wp:extent cx="3906825" cy="249555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699" cy="249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4.2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Italic" w:hAnsi="Syntax-Italic" w:cs="Syntax-Italic"/>
          <w:i/>
          <w:iCs/>
          <w:color w:val="231F20"/>
          <w:sz w:val="24"/>
          <w:szCs w:val="24"/>
        </w:rPr>
      </w:pP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>Voer onderverdeeld naar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Italic" w:hAnsi="Syntax-Italic" w:cs="Syntax-Italic"/>
          <w:i/>
          <w:iCs/>
          <w:color w:val="231F20"/>
          <w:sz w:val="24"/>
          <w:szCs w:val="24"/>
        </w:rPr>
      </w:pP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>droge stof.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Italic" w:hAnsi="Syntax-Italic" w:cs="Syntax-Italic"/>
          <w:i/>
          <w:iCs/>
          <w:color w:val="231F20"/>
          <w:sz w:val="24"/>
          <w:szCs w:val="24"/>
        </w:rPr>
      </w:pP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4.3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32446A" w:rsidRPr="0032446A" w:rsidRDefault="0032446A" w:rsidP="0032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ld" w:hAnsi="MetaBold" w:cs="MetaBold"/>
          <w:b/>
          <w:bCs/>
          <w:color w:val="00461B"/>
          <w:sz w:val="24"/>
          <w:szCs w:val="24"/>
        </w:rPr>
      </w:pPr>
      <w:r w:rsidRPr="0032446A">
        <w:rPr>
          <w:rFonts w:ascii="MetaBold" w:hAnsi="MetaBold" w:cs="MetaBold"/>
          <w:b/>
          <w:bCs/>
          <w:color w:val="00461B"/>
          <w:sz w:val="24"/>
          <w:szCs w:val="24"/>
        </w:rPr>
        <w:t>WEETJE</w:t>
      </w:r>
    </w:p>
    <w:p w:rsidR="0032446A" w:rsidRPr="0032446A" w:rsidRDefault="0032446A" w:rsidP="0032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Caps" w:hAnsi="MetaCaps" w:cs="MetaCaps"/>
          <w:color w:val="00461B"/>
          <w:sz w:val="24"/>
          <w:szCs w:val="24"/>
        </w:rPr>
      </w:pPr>
      <w:r w:rsidRPr="0032446A">
        <w:rPr>
          <w:rFonts w:ascii="MetaCaps" w:hAnsi="MetaCaps" w:cs="MetaCaps"/>
          <w:color w:val="00461B"/>
          <w:sz w:val="24"/>
          <w:szCs w:val="24"/>
        </w:rPr>
        <w:t>Behalve de minimumaanbeveling voor structuurrijk ruwvoer geldt voor alle</w:t>
      </w:r>
    </w:p>
    <w:p w:rsidR="0032446A" w:rsidRPr="0032446A" w:rsidRDefault="0032446A" w:rsidP="0032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Caps" w:hAnsi="MetaCaps" w:cs="MetaCaps"/>
          <w:color w:val="00461B"/>
          <w:sz w:val="24"/>
          <w:szCs w:val="24"/>
        </w:rPr>
      </w:pPr>
      <w:r w:rsidRPr="0032446A">
        <w:rPr>
          <w:rFonts w:ascii="MetaCaps" w:hAnsi="MetaCaps" w:cs="MetaCaps"/>
          <w:color w:val="00461B"/>
          <w:sz w:val="24"/>
          <w:szCs w:val="24"/>
        </w:rPr>
        <w:t>waarden dat het gemiddelde adviezen zijn. Maar er is geen gemiddeld paard!</w:t>
      </w:r>
    </w:p>
    <w:p w:rsidR="0032446A" w:rsidRPr="0032446A" w:rsidRDefault="0032446A" w:rsidP="0032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Caps" w:hAnsi="MetaCaps" w:cs="MetaCaps"/>
          <w:color w:val="00461B"/>
          <w:sz w:val="24"/>
          <w:szCs w:val="24"/>
        </w:rPr>
      </w:pPr>
      <w:r w:rsidRPr="0032446A">
        <w:rPr>
          <w:rFonts w:ascii="MetaCaps" w:hAnsi="MetaCaps" w:cs="MetaCaps"/>
          <w:color w:val="00461B"/>
          <w:sz w:val="24"/>
          <w:szCs w:val="24"/>
        </w:rPr>
        <w:t>Gebruik de waarden daarom als richtlijn.</w:t>
      </w:r>
    </w:p>
    <w:p w:rsidR="0032446A" w:rsidRDefault="0032446A" w:rsidP="0032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ZapfDingbats" w:eastAsia="ZapfDingbats" w:hAnsi="Syntax-Bold" w:cs="ZapfDingbats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24"/>
          <w:szCs w:val="24"/>
        </w:rPr>
      </w:pPr>
      <w:r w:rsidRPr="0032446A">
        <w:rPr>
          <w:rFonts w:ascii="Syntax-Bold" w:hAnsi="Syntax-Bold" w:cs="Syntax-Bold"/>
          <w:b/>
          <w:bCs/>
          <w:color w:val="231F20"/>
          <w:sz w:val="24"/>
          <w:szCs w:val="24"/>
        </w:rPr>
        <w:t>4.3 Ruwvoer voor onderhoud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Voor zijn onderhoud kan een paard meer dan voldoende energie uit ruwvoer halen.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Het kan zelfs zijn dat het dier meer energie krijgt dan nodig is. Dit hangt af van het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type paard en het gebruikte ruwvoer. Soms hebben paarden extra vitamines 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mineralen nodig. Laat bij verschijnselen van tekorten of slechte gezondheid het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ruwvoer analyseren en vraag een onafhankelijk, deskundig advies. Een halve emmer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wortelen en een beetje gesneden vezels, zoals luzerne, kunnen nuttig zijn als het paard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een supplement moet hebben zonder dat je krachtvoer wilt geven. Paarden die de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hele winter buiten staan, hebben extra ruwvoer of krachtvoer nodig. Deze dieren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moet je misschien extra vitamines en mineralen geven.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24"/>
          <w:szCs w:val="24"/>
        </w:rPr>
      </w:pPr>
      <w:r w:rsidRPr="0032446A">
        <w:rPr>
          <w:rFonts w:ascii="Syntax-Bold" w:hAnsi="Syntax-Bold" w:cs="Syntax-Bold"/>
          <w:b/>
          <w:bCs/>
          <w:color w:val="231F20"/>
          <w:sz w:val="24"/>
          <w:szCs w:val="24"/>
        </w:rPr>
        <w:t>4.4 Eiwit voor onderhoud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Volwassen paarden hebben weinig eiwit nodig voor hun onderhoud. Ze hebben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voldoende aan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voordroogkuil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 en gras.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Voordroogkuil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 met meer dan 60 procent droge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stof bevat voldoende energie, eiwit en structuur. Als je alleen hooi van matige kwaliteit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geeft, kan dit leiden tot eiwittekort. Geef als aanvulling dan een kleine hoeveelheid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krachtvoer. Luzerne geeft als ruwvoer wel extra energie en eiwit. Vervang bijvoorbeeld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1 kg hooi door 1 kg luzerne. Vervang echter niet meer dan 30 procent van het hooi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door luzerne! 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Om de eiwitbehoefte (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VREp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>) te berekenen deel je de energiebehoefte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(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EWpa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) door 0,013 (1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VREp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 = 0,013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EWpa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>).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4.4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  <w:r w:rsidRPr="0032446A">
        <w:rPr>
          <w:rFonts w:ascii="TektonMM-503-488-" w:hAnsi="TektonMM-503-488-" w:cs="TektonMM-503-488-"/>
          <w:b/>
          <w:bCs/>
          <w:color w:val="00461B"/>
          <w:sz w:val="24"/>
          <w:szCs w:val="24"/>
        </w:rPr>
        <w:t>Het belang van energie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Het paard neemt voedingsstoffen op en zet deze stoffen om in</w:t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 xml:space="preserve"> </w:t>
      </w: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energie voor: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32446A" w:rsidTr="0032446A">
        <w:tc>
          <w:tcPr>
            <w:tcW w:w="3070" w:type="dxa"/>
          </w:tcPr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5E398B"/>
                <w:sz w:val="14"/>
                <w:szCs w:val="14"/>
              </w:rPr>
            </w:pPr>
            <w:r>
              <w:rPr>
                <w:rFonts w:ascii="TektonMM-503-488-" w:hAnsi="TektonMM-503-488-" w:cs="TektonMM-503-488-"/>
                <w:b/>
                <w:bCs/>
                <w:color w:val="5E398B"/>
                <w:sz w:val="14"/>
                <w:szCs w:val="14"/>
              </w:rPr>
              <w:t>Onderhoud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Het regelen van de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lichaamstemperatuur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De stofwisseling, zoals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hartslag en bloedcirculatie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Het lichaamsgewicht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Basisbewegingen, bijvoorbeeld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zoeken naar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voer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Het kauwen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De vertering van voer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jc w:val="both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  <w:tc>
          <w:tcPr>
            <w:tcW w:w="3071" w:type="dxa"/>
          </w:tcPr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5E398B"/>
                <w:sz w:val="14"/>
                <w:szCs w:val="14"/>
              </w:rPr>
            </w:pPr>
            <w:r>
              <w:rPr>
                <w:rFonts w:ascii="TektonMM-503-488-" w:hAnsi="TektonMM-503-488-" w:cs="TektonMM-503-488-"/>
                <w:b/>
                <w:bCs/>
                <w:color w:val="5E398B"/>
                <w:sz w:val="14"/>
                <w:szCs w:val="14"/>
              </w:rPr>
              <w:t>Productie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Groei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Voortplanting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Melkproductie (lactatie)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Werk en beweging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Fitness (spieropbouw)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jc w:val="both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  <w:tc>
          <w:tcPr>
            <w:tcW w:w="3071" w:type="dxa"/>
          </w:tcPr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5E398B"/>
                <w:sz w:val="14"/>
                <w:szCs w:val="14"/>
              </w:rPr>
            </w:pPr>
            <w:r>
              <w:rPr>
                <w:rFonts w:ascii="TektonMM-503-488-" w:hAnsi="TektonMM-503-488-" w:cs="TektonMM-503-488-"/>
                <w:b/>
                <w:bCs/>
                <w:color w:val="5E398B"/>
                <w:sz w:val="14"/>
                <w:szCs w:val="14"/>
              </w:rPr>
              <w:t>Vetweefsel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 w:hint="eastAsia"/>
                <w:color w:val="5E398B"/>
                <w:sz w:val="14"/>
                <w:szCs w:val="14"/>
              </w:rPr>
              <w:t>•</w:t>
            </w: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 xml:space="preserve"> Alle energie die niet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nodig is voor onderhoud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en productie, wordt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opgeslagen als vetweefsel.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Dit dient als reserve-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energie en kan worden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aangesproken in tijden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</w:pPr>
            <w:r>
              <w:rPr>
                <w:rFonts w:ascii="TektonMM-240-564-" w:eastAsia="TektonMM-240-564-" w:hAnsi="TektonMM-503-488-" w:cs="TektonMM-240-564-"/>
                <w:color w:val="5E398B"/>
                <w:sz w:val="14"/>
                <w:szCs w:val="14"/>
              </w:rPr>
              <w:t>van energietekort.</w:t>
            </w:r>
          </w:p>
          <w:p w:rsidR="0032446A" w:rsidRDefault="0032446A" w:rsidP="0032446A">
            <w:pPr>
              <w:autoSpaceDE w:val="0"/>
              <w:autoSpaceDN w:val="0"/>
              <w:adjustRightInd w:val="0"/>
              <w:jc w:val="both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</w:tbl>
    <w:p w:rsid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Allereerst moet er een schatting worden gemaakt van de voerbehoefte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voor onderhoud. Dit is de basishoeveelheid die een paard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minimaal nodig heeft om te overleven. Hier wordt de voerbehoefte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voor productie bij opgeteld, die afhankelijk is van de activiteiten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van het paard.</w:t>
      </w: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p w:rsidR="00473F99" w:rsidRPr="0032446A" w:rsidRDefault="00473F99" w:rsidP="0032446A">
      <w:pPr>
        <w:autoSpaceDE w:val="0"/>
        <w:autoSpaceDN w:val="0"/>
        <w:adjustRightInd w:val="0"/>
        <w:spacing w:after="0" w:line="240" w:lineRule="auto"/>
        <w:jc w:val="both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24"/>
          <w:szCs w:val="24"/>
        </w:rPr>
      </w:pPr>
      <w:r w:rsidRPr="0032446A">
        <w:rPr>
          <w:rFonts w:ascii="Syntax-Bold" w:hAnsi="Syntax-Bold" w:cs="Syntax-Bold"/>
          <w:b/>
          <w:bCs/>
          <w:color w:val="231F20"/>
          <w:sz w:val="24"/>
          <w:szCs w:val="24"/>
        </w:rPr>
        <w:t>4.5 Energie voor de spieren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 xml:space="preserve">Spieren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verbruiken veel energie om samen te trekken en te ontspannen. Bij mensen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kun je het verschil in spieren tussen een marathonloper en een sprinter goed zien. De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spieren van een marathonloper lijken op die van een </w:t>
      </w:r>
      <w:proofErr w:type="spellStart"/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>endurancepaard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>, en die van een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sprinter op die van een springpaard. Net als de meeste mensen zijn de meeste paarden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echter geen topsporters.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De diverse typen spieren gebruiken de verschillende energiebronnen op een efficiënte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manier. Een paard dat energie nodig heeft voor een korte, maar intensieve inspanning,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heeft voer nodig met veel oplosbare koolhydraten, zoals suiker en zetmeel (krachtvoer,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granen). Is heel snel energie nodig voor spierkracht, dan gebeurt dit zonder zuurstof.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Hierbij wordt melkzuur geproduceerd. Het melkzuur in de spieren (spierverzuring)</w:t>
      </w:r>
    </w:p>
    <w:p w:rsidR="0030676D" w:rsidRPr="0032446A" w:rsidRDefault="0032446A" w:rsidP="0030676D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moet weer worden afgebroken. Bij langdurige arbeid zonder een al te hoge inspanning</w:t>
      </w:r>
      <w:r w:rsidR="00473F99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zorgen complexe koolhydraten en vetten (ruwvoer en een beetje olierijk krachtvoer)</w:t>
      </w:r>
      <w:r w:rsidR="0030676D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="0030676D" w:rsidRPr="0032446A">
        <w:rPr>
          <w:rFonts w:ascii="Syntax-Roman" w:hAnsi="Syntax-Roman" w:cs="Syntax-Roman"/>
          <w:color w:val="231F20"/>
          <w:sz w:val="24"/>
          <w:szCs w:val="24"/>
        </w:rPr>
        <w:t>voor voldoende energie. Dit voer wordt samen met</w:t>
      </w:r>
      <w:r w:rsidR="0030676D">
        <w:rPr>
          <w:rFonts w:ascii="Syntax-Roman" w:hAnsi="Syntax-Roman" w:cs="Syntax-Roman"/>
          <w:color w:val="231F20"/>
          <w:sz w:val="24"/>
          <w:szCs w:val="24"/>
        </w:rPr>
        <w:t xml:space="preserve"> zuurstof langzaam verwerkt tot </w:t>
      </w:r>
      <w:r w:rsidR="0030676D" w:rsidRPr="0032446A">
        <w:rPr>
          <w:rFonts w:ascii="Syntax-Roman" w:hAnsi="Syntax-Roman" w:cs="Syntax-Roman"/>
          <w:color w:val="231F20"/>
          <w:sz w:val="24"/>
          <w:szCs w:val="24"/>
        </w:rPr>
        <w:t>energie voor de spieren.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473F99" w:rsidRDefault="00473F99" w:rsidP="00473F99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4.5</w:t>
      </w:r>
    </w:p>
    <w:p w:rsidR="00473F99" w:rsidRDefault="00473F99" w:rsidP="00473F99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473F99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  <w:r>
        <w:rPr>
          <w:rFonts w:ascii="TektonMM-503-488-" w:hAnsi="TektonMM-503-488-" w:cs="TektonMM-503-488-"/>
          <w:b/>
          <w:bCs/>
          <w:color w:val="00461B"/>
          <w:sz w:val="24"/>
          <w:szCs w:val="24"/>
        </w:rPr>
        <w:t>Onderhoudsbehoefte en -dekking voor merries en ruinen</w:t>
      </w:r>
    </w:p>
    <w:p w:rsidR="00473F99" w:rsidRDefault="00473F99" w:rsidP="00473F99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TektonMM-503-488-" w:cs="TektonMM-240-564-"/>
          <w:color w:val="5E398B"/>
          <w:sz w:val="18"/>
          <w:szCs w:val="18"/>
        </w:rPr>
      </w:pPr>
      <w:r>
        <w:rPr>
          <w:rFonts w:ascii="TektonMM-240-564-" w:eastAsia="TektonMM-240-564-" w:hAnsi="TektonMM-503-488-" w:cs="TektonMM-240-564-"/>
          <w:color w:val="5E398B"/>
          <w:sz w:val="18"/>
          <w:szCs w:val="18"/>
        </w:rPr>
        <w:t>Als een paard gras of hooi eet, heeft het dier voldoende energie voor zijn onderhoud. Afhankelijk van de</w:t>
      </w:r>
    </w:p>
    <w:p w:rsidR="00473F99" w:rsidRPr="0032446A" w:rsidRDefault="00473F99" w:rsidP="00473F99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>
        <w:rPr>
          <w:rFonts w:ascii="TektonMM-240-564-" w:eastAsia="TektonMM-240-564-" w:hAnsi="TektonMM-503-488-" w:cs="TektonMM-240-564-"/>
          <w:color w:val="5E398B"/>
          <w:sz w:val="18"/>
          <w:szCs w:val="18"/>
        </w:rPr>
        <w:t>activiteit kun je energie aanvullen met granen of krachtvoer. De vijfde kolom geeft hiervoor een richtlijn.</w:t>
      </w:r>
    </w:p>
    <w:p w:rsidR="00473F99" w:rsidRDefault="00473F99" w:rsidP="00473F99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473F99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3F99" w:rsidTr="004348EF"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Lichaamsgewicht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(kg)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Energie nodig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voor onderhoud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(</w:t>
            </w:r>
            <w:proofErr w:type="spellStart"/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EWpa</w:t>
            </w:r>
            <w:proofErr w:type="spellEnd"/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In zomergras bij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12 uur grazen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(geschatte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inname) (</w:t>
            </w:r>
            <w:proofErr w:type="spellStart"/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EWpa</w:t>
            </w:r>
            <w:proofErr w:type="spellEnd"/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In hooi bij 3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maaltijden per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dag (geschatte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inname) (</w:t>
            </w:r>
            <w:proofErr w:type="spellStart"/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EWpa</w:t>
            </w:r>
            <w:proofErr w:type="spellEnd"/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Is extra energie nodig?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Voer dan granen of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krachtvoer. Dagelijkse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hoeveelheid naast het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hooi (kg)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</w:tr>
      <w:tr w:rsidR="00473F99" w:rsidTr="004348EF"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200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2,19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2,52 (18 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2,85 (5 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0,5 kg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</w:tr>
      <w:tr w:rsidR="00473F99" w:rsidTr="004348EF"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400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3,68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5,04 (36 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4,56 (8 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0,5 – 1 kg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</w:tr>
      <w:tr w:rsidR="00473F99" w:rsidTr="004348EF"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600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4,98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5,04 (36 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6,84 (12 kg)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</w:pPr>
            <w:r>
              <w:rPr>
                <w:rFonts w:ascii="TektonMM-503-488-" w:hAnsi="TektonMM-503-488-" w:cs="TektonMM-503-488-"/>
                <w:b/>
                <w:bCs/>
                <w:color w:val="00461B"/>
                <w:sz w:val="18"/>
                <w:szCs w:val="18"/>
              </w:rPr>
              <w:t>1- 1,5 kg</w:t>
            </w:r>
          </w:p>
          <w:p w:rsidR="00473F99" w:rsidRDefault="00473F99" w:rsidP="004348EF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</w:tr>
    </w:tbl>
    <w:p w:rsidR="00473F99" w:rsidRPr="0032446A" w:rsidRDefault="00473F99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4.6</w:t>
      </w:r>
    </w:p>
    <w:p w:rsidR="0032446A" w:rsidRPr="0032446A" w:rsidRDefault="0032446A" w:rsidP="0047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00461B"/>
          <w:sz w:val="24"/>
          <w:szCs w:val="24"/>
        </w:rPr>
        <w:t>Een rantsoen bepalen</w:t>
      </w:r>
    </w:p>
    <w:p w:rsidR="0032446A" w:rsidRPr="0032446A" w:rsidRDefault="0032446A" w:rsidP="0047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Houd bij het bepalen van rantsoen rekening met al dan niet aanwezige reserves</w:t>
      </w:r>
    </w:p>
    <w:p w:rsidR="0032446A" w:rsidRPr="0032446A" w:rsidRDefault="0032446A" w:rsidP="0047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bij je paard. Een dik paard mag best een tijdje minder dan de minimale behoefte</w:t>
      </w:r>
    </w:p>
    <w:p w:rsidR="0032446A" w:rsidRPr="0032446A" w:rsidRDefault="0032446A" w:rsidP="0047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van het onderhoudsniveau eten. Of laat het dier meer werk doen. Een mager</w:t>
      </w:r>
    </w:p>
    <w:p w:rsidR="0032446A" w:rsidRPr="0032446A" w:rsidRDefault="0032446A" w:rsidP="0047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paard heeft daarentegen niet genoeg aan de berekende onderhoudshoeveelheid</w:t>
      </w:r>
    </w:p>
    <w:p w:rsidR="0032446A" w:rsidRPr="0032446A" w:rsidRDefault="0032446A" w:rsidP="0047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voer en heeft een beetje extra krachtvoer nodig. Paarden die niet werken, kunnen</w:t>
      </w:r>
    </w:p>
    <w:p w:rsidR="0032446A" w:rsidRDefault="0032446A" w:rsidP="0047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ruim voldoende energie halen uit een rantsoen van gras en hooi.</w:t>
      </w:r>
    </w:p>
    <w:p w:rsidR="00473F99" w:rsidRDefault="00473F99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p w:rsidR="00473F99" w:rsidRPr="0032446A" w:rsidRDefault="00473F99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4.7</w:t>
      </w:r>
    </w:p>
    <w:p w:rsidR="0030676D" w:rsidRDefault="0030676D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73F99" w:rsidRPr="0032446A" w:rsidRDefault="00473F99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ktonMM-240-564-" w:eastAsia="TektonMM-240-564-" w:hAnsi="Syntax-Bold" w:cs="TektonMM-240-564-"/>
          <w:color w:val="B1720C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B1720C"/>
          <w:sz w:val="24"/>
          <w:szCs w:val="24"/>
        </w:rPr>
        <w:t>TIP</w:t>
      </w:r>
    </w:p>
    <w:p w:rsidR="00473F99" w:rsidRPr="0032446A" w:rsidRDefault="00473F99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Caps" w:hAnsi="MetaCaps" w:cs="MetaCaps"/>
          <w:color w:val="F8931E"/>
          <w:sz w:val="24"/>
          <w:szCs w:val="24"/>
        </w:rPr>
      </w:pPr>
      <w:r w:rsidRPr="0032446A">
        <w:rPr>
          <w:rFonts w:ascii="MetaCaps" w:hAnsi="MetaCaps" w:cs="MetaCaps"/>
          <w:color w:val="F8931E"/>
          <w:sz w:val="24"/>
          <w:szCs w:val="24"/>
        </w:rPr>
        <w:t xml:space="preserve">Voer je </w:t>
      </w:r>
      <w:proofErr w:type="spellStart"/>
      <w:r w:rsidRPr="0032446A">
        <w:rPr>
          <w:rFonts w:ascii="MetaCaps" w:hAnsi="MetaCaps" w:cs="MetaCaps"/>
          <w:color w:val="F8931E"/>
          <w:sz w:val="24"/>
          <w:szCs w:val="24"/>
        </w:rPr>
        <w:t>je</w:t>
      </w:r>
      <w:proofErr w:type="spellEnd"/>
      <w:r w:rsidRPr="0032446A">
        <w:rPr>
          <w:rFonts w:ascii="MetaCaps" w:hAnsi="MetaCaps" w:cs="MetaCaps"/>
          <w:color w:val="F8931E"/>
          <w:sz w:val="24"/>
          <w:szCs w:val="24"/>
        </w:rPr>
        <w:t xml:space="preserve"> paard heel zacht of vochtig kuilgras? Meng dan stro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Caps" w:hAnsi="MetaCaps" w:cs="MetaCaps"/>
          <w:color w:val="F8931E"/>
          <w:sz w:val="24"/>
          <w:szCs w:val="24"/>
        </w:rPr>
      </w:pPr>
      <w:r w:rsidRPr="0032446A">
        <w:rPr>
          <w:rFonts w:ascii="MetaCaps" w:hAnsi="MetaCaps" w:cs="MetaCaps"/>
          <w:color w:val="F8931E"/>
          <w:sz w:val="24"/>
          <w:szCs w:val="24"/>
        </w:rPr>
        <w:t>van goede kwaliteit bij voor voldoende structuur. Dit is ook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Caps" w:hAnsi="MetaCaps" w:cs="MetaCaps"/>
          <w:color w:val="F8931E"/>
          <w:sz w:val="24"/>
          <w:szCs w:val="24"/>
        </w:rPr>
      </w:pPr>
      <w:r w:rsidRPr="0032446A">
        <w:rPr>
          <w:rFonts w:ascii="MetaCaps" w:hAnsi="MetaCaps" w:cs="MetaCaps"/>
          <w:color w:val="F8931E"/>
          <w:sz w:val="24"/>
          <w:szCs w:val="24"/>
        </w:rPr>
        <w:t>een goede manier om de energie in het ruwvoer te beperken.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0676D" w:rsidRDefault="0030676D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31F20"/>
          <w:sz w:val="24"/>
          <w:szCs w:val="24"/>
        </w:rPr>
      </w:pPr>
      <w:r w:rsidRPr="0032446A">
        <w:rPr>
          <w:rFonts w:ascii="Syntax-Bold" w:hAnsi="Syntax-Bold" w:cs="Syntax-Bold"/>
          <w:b/>
          <w:bCs/>
          <w:color w:val="231F20"/>
          <w:sz w:val="24"/>
          <w:szCs w:val="24"/>
        </w:rPr>
        <w:t>4.6 De energiebehoefte van je paard berekenen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Hoeveel je moet voeren, hangt sterk af van hoeveel werk je paard verzet. En dit is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natuurlijk ook nog afhankelijk van het type paard. Een spring- of dressuurpaard kan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licht of zwaar werk verrichten, afhankelijk van de training en het niveau.</w:t>
      </w:r>
    </w:p>
    <w:p w:rsidR="0030676D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De eerste drie stappen van de berekening vind je in figuur 4.10.</w:t>
      </w:r>
    </w:p>
    <w:p w:rsidR="0030676D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 Stap 4 staat in</w:t>
      </w:r>
      <w:r w:rsidR="0030676D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figuur 4.11.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Stap 5 in figuur 4.12 .</w:t>
      </w:r>
    </w:p>
    <w:p w:rsidR="0030676D" w:rsidRPr="0032446A" w:rsidRDefault="0030676D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De energiebehoefte hangt af van de duur van iedere training (A), het aantal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trainingen/activiteiten per dag en per week (B en C), en de </w:t>
      </w: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 xml:space="preserve">intensiteit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(stap 2) zie</w:t>
      </w:r>
    </w:p>
    <w:p w:rsidR="0030676D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punten hiervoor in tabel. Vul de punten per type training in gedurende een gemiddelde</w:t>
      </w:r>
      <w:r w:rsidR="0030676D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week (onder I, II, III). Bij types training kun je denken aan: </w:t>
      </w:r>
      <w:proofErr w:type="spellStart"/>
      <w:r w:rsidRPr="0032446A">
        <w:rPr>
          <w:rFonts w:ascii="Syntax-Roman" w:hAnsi="Syntax-Roman" w:cs="Syntax-Roman"/>
          <w:color w:val="231F20"/>
          <w:sz w:val="24"/>
          <w:szCs w:val="24"/>
        </w:rPr>
        <w:t>longeren</w:t>
      </w:r>
      <w:proofErr w:type="spellEnd"/>
      <w:r w:rsidRPr="0032446A">
        <w:rPr>
          <w:rFonts w:ascii="Syntax-Roman" w:hAnsi="Syntax-Roman" w:cs="Syntax-Roman"/>
          <w:color w:val="231F20"/>
          <w:sz w:val="24"/>
          <w:szCs w:val="24"/>
        </w:rPr>
        <w:t>, buiten rijden,</w:t>
      </w:r>
      <w:r w:rsidR="0030676D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dressuur, springen, stapmolen en tredmolen. Meestal voer je een tot drie verschillende</w:t>
      </w:r>
      <w:r w:rsidR="0030676D"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 xml:space="preserve">types training per week uit. 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4.8</w:t>
      </w:r>
    </w:p>
    <w:p w:rsidR="0030676D" w:rsidRPr="0032446A" w:rsidRDefault="0030676D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Bold" w:hAnsi="MetaBold" w:cs="MetaBold"/>
          <w:b/>
          <w:bCs/>
          <w:color w:val="00461B"/>
          <w:sz w:val="24"/>
          <w:szCs w:val="24"/>
        </w:rPr>
      </w:pPr>
      <w:r w:rsidRPr="0032446A">
        <w:rPr>
          <w:rFonts w:ascii="MetaBold" w:hAnsi="MetaBold" w:cs="MetaBold"/>
          <w:b/>
          <w:bCs/>
          <w:color w:val="00461B"/>
          <w:sz w:val="24"/>
          <w:szCs w:val="24"/>
        </w:rPr>
        <w:t>WEETJE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Caps" w:hAnsi="MetaCaps" w:cs="MetaCaps"/>
          <w:color w:val="00461B"/>
          <w:sz w:val="24"/>
          <w:szCs w:val="24"/>
        </w:rPr>
      </w:pPr>
      <w:r w:rsidRPr="0032446A">
        <w:rPr>
          <w:rFonts w:ascii="MetaCaps" w:hAnsi="MetaCaps" w:cs="MetaCaps"/>
          <w:color w:val="00461B"/>
          <w:sz w:val="24"/>
          <w:szCs w:val="24"/>
        </w:rPr>
        <w:t>Als een paard twee keer zo zwaar is als een ander paard, betekent dit nog niet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Caps" w:hAnsi="MetaCaps" w:cs="MetaCaps"/>
          <w:color w:val="00461B"/>
          <w:sz w:val="24"/>
          <w:szCs w:val="24"/>
        </w:rPr>
      </w:pPr>
      <w:r w:rsidRPr="0032446A">
        <w:rPr>
          <w:rFonts w:ascii="MetaCaps" w:hAnsi="MetaCaps" w:cs="MetaCaps"/>
          <w:color w:val="00461B"/>
          <w:sz w:val="24"/>
          <w:szCs w:val="24"/>
        </w:rPr>
        <w:t>dat dit paard ook twee keer zo veel energie nodig heeft! De benodigde hoeveelheid</w:t>
      </w:r>
    </w:p>
    <w:p w:rsidR="0030676D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Caps" w:hAnsi="MetaCaps" w:cs="MetaCaps"/>
          <w:color w:val="00461B"/>
          <w:sz w:val="24"/>
          <w:szCs w:val="24"/>
        </w:rPr>
      </w:pPr>
      <w:r w:rsidRPr="0032446A">
        <w:rPr>
          <w:rFonts w:ascii="MetaCaps" w:hAnsi="MetaCaps" w:cs="MetaCaps"/>
          <w:color w:val="00461B"/>
          <w:sz w:val="24"/>
          <w:szCs w:val="24"/>
        </w:rPr>
        <w:t>energie hangt ook af van grootte en temperament.</w:t>
      </w:r>
    </w:p>
    <w:p w:rsidR="0030676D" w:rsidRPr="0032446A" w:rsidRDefault="0030676D" w:rsidP="0032446A">
      <w:pPr>
        <w:autoSpaceDE w:val="0"/>
        <w:autoSpaceDN w:val="0"/>
        <w:adjustRightInd w:val="0"/>
        <w:spacing w:after="0" w:line="240" w:lineRule="auto"/>
        <w:rPr>
          <w:rFonts w:ascii="MetaCaps" w:hAnsi="MetaCaps" w:cs="MetaCaps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4.9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00461B"/>
          <w:sz w:val="24"/>
          <w:szCs w:val="24"/>
        </w:rPr>
        <w:t>Wanneer werkt een paard echt?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lastRenderedPageBreak/>
        <w:t>Als het per dag meer doet dan: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 w:hint="eastAsia"/>
          <w:color w:val="5E398B"/>
          <w:sz w:val="24"/>
          <w:szCs w:val="24"/>
        </w:rPr>
        <w:t>•</w:t>
      </w: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 xml:space="preserve"> grazen en 0,5 tot 1 uur stappen of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 w:hint="eastAsia"/>
          <w:color w:val="5E398B"/>
          <w:sz w:val="24"/>
          <w:szCs w:val="24"/>
        </w:rPr>
        <w:t>•</w:t>
      </w: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 xml:space="preserve"> op stal staan en 1 uur stappen of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 w:hint="eastAsia"/>
          <w:color w:val="5E398B"/>
          <w:sz w:val="24"/>
          <w:szCs w:val="24"/>
        </w:rPr>
        <w:t>•</w:t>
      </w: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 xml:space="preserve"> op stal staan en 0,5 uur stappen</w:t>
      </w:r>
    </w:p>
    <w:p w:rsidR="0032446A" w:rsidRPr="0032446A" w:rsidRDefault="0032446A" w:rsidP="0030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en draven.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Dan is voeren op onderhoudsbehoefte niet meer voldoende.</w:t>
      </w:r>
    </w:p>
    <w:p w:rsidR="0030676D" w:rsidRDefault="0030676D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0676D" w:rsidRDefault="0030676D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4.10</w:t>
      </w:r>
    </w:p>
    <w:p w:rsidR="00997468" w:rsidRDefault="00997468" w:rsidP="00997468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In dit puntensysteem zie je een voorbeeld van een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Italic" w:hAnsi="Syntax-Italic" w:cs="Syntax-Italic"/>
          <w:i/>
          <w:iCs/>
          <w:color w:val="231F20"/>
          <w:sz w:val="24"/>
          <w:szCs w:val="24"/>
        </w:rPr>
        <w:t xml:space="preserve">recreatiepaard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dat drie keer per week wordt getraind: twee keer in dressuur (I), een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keer springen (II) en op zondag een buitenrit (III).</w:t>
      </w:r>
    </w:p>
    <w:p w:rsidR="00997468" w:rsidRPr="0032446A" w:rsidRDefault="00997468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.</w:t>
      </w:r>
    </w:p>
    <w:p w:rsidR="009C7D5C" w:rsidRDefault="0032446A" w:rsidP="009C7D5C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.</w:t>
      </w:r>
      <w:r w:rsidR="009C7D5C"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Stap 1. Duur training</w:t>
      </w:r>
    </w:p>
    <w:p w:rsidR="009C7D5C" w:rsidRDefault="009C7D5C" w:rsidP="009C7D5C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Bepaal de trainingsduur per soort training.</w:t>
      </w:r>
    </w:p>
    <w:p w:rsidR="009C7D5C" w:rsidRPr="009C7D5C" w:rsidRDefault="009C7D5C" w:rsidP="00B86358">
      <w:pPr>
        <w:pStyle w:val="Lijstalinea"/>
        <w:autoSpaceDE w:val="0"/>
        <w:autoSpaceDN w:val="0"/>
        <w:adjustRightInd w:val="0"/>
        <w:spacing w:after="0" w:line="240" w:lineRule="auto"/>
        <w:ind w:left="1080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  <w:r w:rsidRPr="009C7D5C">
        <w:rPr>
          <w:rFonts w:ascii="TektonMM-240-564-" w:eastAsia="TektonMM-240-564-" w:hAnsi="Syntax-Bold" w:cs="TektonMM-240-564-"/>
          <w:color w:val="00461B"/>
          <w:sz w:val="24"/>
          <w:szCs w:val="24"/>
        </w:rPr>
        <w:tab/>
      </w:r>
      <w:r w:rsidRPr="009C7D5C">
        <w:rPr>
          <w:rFonts w:ascii="TektonMM-240-564-" w:eastAsia="TektonMM-240-564-" w:hAnsi="Syntax-Bold" w:cs="TektonMM-240-564-"/>
          <w:color w:val="00461B"/>
          <w:sz w:val="24"/>
          <w:szCs w:val="24"/>
        </w:rPr>
        <w:tab/>
      </w:r>
      <w:r w:rsidRPr="009C7D5C">
        <w:rPr>
          <w:rFonts w:ascii="TektonMM-240-564-" w:eastAsia="TektonMM-240-564-" w:hAnsi="Syntax-Bold" w:cs="TektonMM-240-564-"/>
          <w:color w:val="00461B"/>
          <w:sz w:val="24"/>
          <w:szCs w:val="24"/>
        </w:rPr>
        <w:tab/>
      </w:r>
    </w:p>
    <w:p w:rsidR="009C7D5C" w:rsidRPr="009C7D5C" w:rsidRDefault="00B86358" w:rsidP="009C7D5C">
      <w:pPr>
        <w:pStyle w:val="Lijstalinea"/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  <w:t>Punten per type training</w:t>
      </w:r>
    </w:p>
    <w:tbl>
      <w:tblPr>
        <w:tblStyle w:val="Tabelraster"/>
        <w:tblW w:w="0" w:type="auto"/>
        <w:tblLook w:val="04A0"/>
      </w:tblPr>
      <w:tblGrid>
        <w:gridCol w:w="4928"/>
        <w:gridCol w:w="992"/>
        <w:gridCol w:w="1134"/>
        <w:gridCol w:w="1134"/>
        <w:gridCol w:w="1024"/>
      </w:tblGrid>
      <w:tr w:rsidR="009C7D5C" w:rsidTr="00B86358">
        <w:tc>
          <w:tcPr>
            <w:tcW w:w="4928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A</w:t>
            </w:r>
            <w:r w:rsidR="009C7D5C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)</w:t>
            </w:r>
            <w:r w:rsidR="009C7D5C" w:rsidRPr="009C7D5C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Hoe lang doe je deze training per dag?(omcirkel de punten van de categorie)</w:t>
            </w:r>
          </w:p>
        </w:tc>
        <w:tc>
          <w:tcPr>
            <w:tcW w:w="992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III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IV</w:t>
            </w:r>
          </w:p>
        </w:tc>
      </w:tr>
      <w:tr w:rsidR="009C7D5C" w:rsidTr="00B86358">
        <w:tc>
          <w:tcPr>
            <w:tcW w:w="4928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Zeer kort tot 30 minuten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  <w:tr w:rsidR="009C7D5C" w:rsidTr="00B86358">
        <w:tc>
          <w:tcPr>
            <w:tcW w:w="4928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Kort tot 1 uur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D5C" w:rsidRPr="00997468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  <w:tr w:rsidR="009C7D5C" w:rsidTr="00B86358">
        <w:tc>
          <w:tcPr>
            <w:tcW w:w="4928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proofErr w:type="spellStart"/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Kort-medium</w:t>
            </w:r>
            <w:proofErr w:type="spellEnd"/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tot 1,5 uur</w:t>
            </w:r>
          </w:p>
        </w:tc>
        <w:tc>
          <w:tcPr>
            <w:tcW w:w="992" w:type="dxa"/>
          </w:tcPr>
          <w:p w:rsidR="009C7D5C" w:rsidRPr="00997468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7D5C" w:rsidRPr="00997468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  <w:t>4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  <w:tr w:rsidR="009C7D5C" w:rsidTr="00B86358">
        <w:tc>
          <w:tcPr>
            <w:tcW w:w="4928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proofErr w:type="spellStart"/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Medium-kort</w:t>
            </w:r>
            <w:proofErr w:type="spellEnd"/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tot 2 uur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  <w:tr w:rsidR="009C7D5C" w:rsidTr="00B86358">
        <w:tc>
          <w:tcPr>
            <w:tcW w:w="4928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Medium tot 2,5 uur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  <w:tr w:rsidR="009C7D5C" w:rsidTr="00B86358">
        <w:tc>
          <w:tcPr>
            <w:tcW w:w="4928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proofErr w:type="spellStart"/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Medium-lang</w:t>
            </w:r>
            <w:proofErr w:type="spellEnd"/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tot 3 uur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  <w:tr w:rsidR="009C7D5C" w:rsidTr="00B86358">
        <w:tc>
          <w:tcPr>
            <w:tcW w:w="4928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Lang meer dan 3 uur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  <w:tr w:rsidR="009C7D5C" w:rsidTr="00B86358">
        <w:tc>
          <w:tcPr>
            <w:tcW w:w="4928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B) Aantal keer per dag (1 tot 6</w:t>
            </w:r>
            <w:r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invullen)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  <w:tc>
          <w:tcPr>
            <w:tcW w:w="102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</w:tr>
      <w:tr w:rsidR="009C7D5C" w:rsidTr="00B86358">
        <w:tc>
          <w:tcPr>
            <w:tcW w:w="4928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C) Aantal dagen per week (1 tot 7</w:t>
            </w:r>
            <w:r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invullen)</w:t>
            </w:r>
          </w:p>
        </w:tc>
        <w:tc>
          <w:tcPr>
            <w:tcW w:w="992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  <w:tc>
          <w:tcPr>
            <w:tcW w:w="1024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  <w:t>…</w:t>
            </w:r>
          </w:p>
        </w:tc>
      </w:tr>
      <w:tr w:rsidR="009C7D5C" w:rsidTr="00B86358">
        <w:tc>
          <w:tcPr>
            <w:tcW w:w="4928" w:type="dxa"/>
          </w:tcPr>
          <w:p w:rsidR="009C7D5C" w:rsidRDefault="00B8635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Punten stap 1 (A x B x C)</w:t>
            </w:r>
          </w:p>
        </w:tc>
        <w:tc>
          <w:tcPr>
            <w:tcW w:w="992" w:type="dxa"/>
          </w:tcPr>
          <w:p w:rsidR="009C7D5C" w:rsidRPr="00997468" w:rsidRDefault="0099746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</w:tcPr>
          <w:p w:rsidR="009C7D5C" w:rsidRPr="00997468" w:rsidRDefault="0099746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9C7D5C" w:rsidRPr="00997468" w:rsidRDefault="00997468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5E398B"/>
                <w:sz w:val="24"/>
                <w:szCs w:val="24"/>
                <w:u w:val="single"/>
              </w:rPr>
              <w:t>4</w:t>
            </w:r>
          </w:p>
        </w:tc>
        <w:tc>
          <w:tcPr>
            <w:tcW w:w="1024" w:type="dxa"/>
          </w:tcPr>
          <w:p w:rsidR="009C7D5C" w:rsidRDefault="009C7D5C" w:rsidP="009C7D5C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5E398B"/>
                <w:sz w:val="24"/>
                <w:szCs w:val="24"/>
              </w:rPr>
            </w:pPr>
          </w:p>
        </w:tc>
      </w:tr>
    </w:tbl>
    <w:p w:rsidR="009C7D5C" w:rsidRPr="0032446A" w:rsidRDefault="009C7D5C" w:rsidP="009C7D5C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p w:rsidR="00B86358" w:rsidRPr="0032446A" w:rsidRDefault="00B86358" w:rsidP="00B86358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Stap 2. Intensiteit</w:t>
      </w:r>
    </w:p>
    <w:p w:rsidR="00B86358" w:rsidRDefault="00B86358" w:rsidP="00B86358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Bepaal hoe zwaar het werk is voor je paard.</w:t>
      </w:r>
    </w:p>
    <w:p w:rsidR="00B86358" w:rsidRPr="0032446A" w:rsidRDefault="00B86358" w:rsidP="00B86358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00461B"/>
          <w:sz w:val="24"/>
          <w:szCs w:val="24"/>
        </w:rPr>
        <w:t>(Omcirkel de punten van de categorie)</w:t>
      </w:r>
    </w:p>
    <w:p w:rsidR="00B86358" w:rsidRPr="0032446A" w:rsidRDefault="00B86358" w:rsidP="00B86358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6912"/>
        <w:gridCol w:w="567"/>
        <w:gridCol w:w="567"/>
        <w:gridCol w:w="567"/>
        <w:gridCol w:w="613"/>
      </w:tblGrid>
      <w:tr w:rsidR="00B86358" w:rsidTr="008D5CB9">
        <w:tc>
          <w:tcPr>
            <w:tcW w:w="6912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lastRenderedPageBreak/>
              <w:t xml:space="preserve">Stap (90%), af en toe langzame draf, 1 kort </w:t>
            </w:r>
            <w:proofErr w:type="spellStart"/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galopje</w:t>
            </w:r>
            <w:proofErr w:type="spellEnd"/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Stap (60%), draf (35 %), galop (5 %)</w:t>
            </w:r>
          </w:p>
        </w:tc>
        <w:tc>
          <w:tcPr>
            <w:tcW w:w="567" w:type="dxa"/>
          </w:tcPr>
          <w:p w:rsidR="00B86358" w:rsidRPr="0099746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</w:pPr>
            <w:r w:rsidRPr="00997468"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  <w:t>3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6358" w:rsidRPr="0099746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</w:pPr>
            <w:r w:rsidRPr="00997468"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  <w:t>3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Stap (50%), draf (40%), galop + springen* (10%)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86358" w:rsidRPr="0099746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</w:pPr>
            <w:r w:rsidRPr="00997468"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  <w:t>4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Stap (40%), draf (45%), galop + springen (15%)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Stap (30%), draf (50%), galop + springen (20%)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Stap (25%), draf en snelle draf (40%), galop/springen(20%)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Stap (25%), draf (45%), galop en springen/cross (30%)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Snelle draf en snelle galop, meer dan 80%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B86358" w:rsidTr="008D5CB9">
        <w:tc>
          <w:tcPr>
            <w:tcW w:w="6912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Plus maximumsnelheid bereikt </w:t>
            </w:r>
            <w:r w:rsidRPr="0032446A">
              <w:rPr>
                <w:rFonts w:ascii="TektonMM-240-564-" w:eastAsia="TektonMM-240-564-" w:hAnsi="Syntax-Bold" w:cs="TektonMM-240-564-" w:hint="eastAsia"/>
                <w:color w:val="00461B"/>
                <w:sz w:val="24"/>
                <w:szCs w:val="24"/>
              </w:rPr>
              <w:t>–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niet meer dan 30 minuten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35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  <w:r>
              <w:rPr>
                <w:rFonts w:ascii="Syntax-Roman" w:hAnsi="Syntax-Roman" w:cs="Syntax-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B86358" w:rsidRDefault="00B86358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  <w:tr w:rsidR="008D5CB9" w:rsidTr="008D5CB9">
        <w:tc>
          <w:tcPr>
            <w:tcW w:w="6912" w:type="dxa"/>
          </w:tcPr>
          <w:p w:rsidR="008D5CB9" w:rsidRPr="0032446A" w:rsidRDefault="008D5CB9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Punten stap 2:</w:t>
            </w:r>
          </w:p>
        </w:tc>
        <w:tc>
          <w:tcPr>
            <w:tcW w:w="567" w:type="dxa"/>
          </w:tcPr>
          <w:p w:rsidR="008D5CB9" w:rsidRPr="0099746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</w:pPr>
            <w:r w:rsidRPr="00997468"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  <w:t>3</w:t>
            </w:r>
          </w:p>
        </w:tc>
        <w:tc>
          <w:tcPr>
            <w:tcW w:w="567" w:type="dxa"/>
          </w:tcPr>
          <w:p w:rsidR="008D5CB9" w:rsidRPr="0099746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</w:pPr>
            <w:r w:rsidRPr="00997468"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  <w:t>4</w:t>
            </w:r>
          </w:p>
        </w:tc>
        <w:tc>
          <w:tcPr>
            <w:tcW w:w="567" w:type="dxa"/>
          </w:tcPr>
          <w:p w:rsidR="008D5CB9" w:rsidRPr="00997468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</w:pPr>
            <w:r w:rsidRPr="00997468">
              <w:rPr>
                <w:rFonts w:ascii="Syntax-Roman" w:hAnsi="Syntax-Roman" w:cs="Syntax-Roman"/>
                <w:b/>
                <w:color w:val="231F20"/>
                <w:sz w:val="24"/>
                <w:szCs w:val="24"/>
                <w:u w:val="single"/>
              </w:rPr>
              <w:t>3</w:t>
            </w:r>
          </w:p>
        </w:tc>
        <w:tc>
          <w:tcPr>
            <w:tcW w:w="613" w:type="dxa"/>
          </w:tcPr>
          <w:p w:rsidR="008D5CB9" w:rsidRDefault="008D5CB9" w:rsidP="0032446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231F20"/>
                <w:sz w:val="24"/>
                <w:szCs w:val="24"/>
              </w:rPr>
            </w:pPr>
          </w:p>
        </w:tc>
      </w:tr>
    </w:tbl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997468" w:rsidRPr="0032446A" w:rsidRDefault="00C1470C" w:rsidP="00997468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Stap 3. Heeft je paard nog iets extra</w:t>
      </w:r>
      <w:r w:rsidRPr="0032446A">
        <w:rPr>
          <w:rFonts w:ascii="TektonMM-240-564-" w:eastAsia="TektonMM-240-564-" w:hAnsi="Syntax-Bold" w:cs="TektonMM-240-564-" w:hint="eastAsia"/>
          <w:color w:val="5E398B"/>
          <w:sz w:val="24"/>
          <w:szCs w:val="24"/>
        </w:rPr>
        <w:t>’</w:t>
      </w: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s nodig?</w:t>
      </w:r>
      <w:r w:rsidR="00997468"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 w:rsidR="00997468"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 w:rsidR="00997468"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 w:rsidR="00997468" w:rsidRPr="00997468">
        <w:rPr>
          <w:rFonts w:ascii="TektonMM-240-564-" w:eastAsia="TektonMM-240-564-" w:hAnsi="Syntax-Bold" w:cs="TektonMM-240-564-"/>
          <w:color w:val="00461B"/>
          <w:sz w:val="24"/>
          <w:szCs w:val="24"/>
        </w:rPr>
        <w:t xml:space="preserve"> </w:t>
      </w:r>
      <w:r w:rsidR="00997468" w:rsidRPr="0032446A">
        <w:rPr>
          <w:rFonts w:ascii="TektonMM-240-564-" w:eastAsia="TektonMM-240-564-" w:hAnsi="Syntax-Bold" w:cs="TektonMM-240-564-"/>
          <w:color w:val="00461B"/>
          <w:sz w:val="24"/>
          <w:szCs w:val="24"/>
        </w:rPr>
        <w:t>Punten per</w:t>
      </w:r>
    </w:p>
    <w:p w:rsidR="00997468" w:rsidRPr="0032446A" w:rsidRDefault="00997468" w:rsidP="0099746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00461B"/>
          <w:sz w:val="24"/>
          <w:szCs w:val="24"/>
        </w:rPr>
        <w:t>type training</w:t>
      </w:r>
    </w:p>
    <w:p w:rsidR="00C1470C" w:rsidRPr="0032446A" w:rsidRDefault="00997468" w:rsidP="00C1470C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</w:r>
      <w:r>
        <w:rPr>
          <w:rFonts w:ascii="TektonMM-240-564-" w:eastAsia="TektonMM-240-564-" w:hAnsi="Syntax-Bold" w:cs="TektonMM-240-564-"/>
          <w:color w:val="5E398B"/>
          <w:sz w:val="24"/>
          <w:szCs w:val="24"/>
        </w:rPr>
        <w:tab/>
        <w:t>I     II       III     IV</w:t>
      </w:r>
    </w:p>
    <w:tbl>
      <w:tblPr>
        <w:tblStyle w:val="Tabelraster"/>
        <w:tblW w:w="0" w:type="auto"/>
        <w:tblLook w:val="04A0"/>
      </w:tblPr>
      <w:tblGrid>
        <w:gridCol w:w="6912"/>
        <w:gridCol w:w="567"/>
        <w:gridCol w:w="567"/>
        <w:gridCol w:w="567"/>
        <w:gridCol w:w="599"/>
      </w:tblGrid>
      <w:tr w:rsidR="00997468" w:rsidTr="00997468">
        <w:tc>
          <w:tcPr>
            <w:tcW w:w="6912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3 punten voor aangespannen gereden</w:t>
            </w: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99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</w:tr>
      <w:tr w:rsidR="00997468" w:rsidTr="00997468">
        <w:tc>
          <w:tcPr>
            <w:tcW w:w="6912" w:type="dxa"/>
          </w:tcPr>
          <w:p w:rsidR="00997468" w:rsidRPr="0032446A" w:rsidRDefault="00997468" w:rsidP="00997468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3 tot 5 punten voor temperatuur boven 25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º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C of onder 5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º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C</w:t>
            </w:r>
          </w:p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99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</w:tr>
      <w:tr w:rsidR="00997468" w:rsidTr="00997468">
        <w:tc>
          <w:tcPr>
            <w:tcW w:w="6912" w:type="dxa"/>
          </w:tcPr>
          <w:p w:rsidR="00997468" w:rsidRPr="0032446A" w:rsidRDefault="00997468" w:rsidP="00997468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2 punten voor springen boven 1,40 meter</w:t>
            </w:r>
          </w:p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99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</w:tr>
      <w:tr w:rsidR="00997468" w:rsidTr="00997468">
        <w:tc>
          <w:tcPr>
            <w:tcW w:w="6912" w:type="dxa"/>
          </w:tcPr>
          <w:p w:rsidR="00997468" w:rsidRPr="0032446A" w:rsidRDefault="00997468" w:rsidP="00997468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2 punten voor werk op een helling </w:t>
            </w:r>
            <w:r w:rsidRPr="0032446A">
              <w:rPr>
                <w:rFonts w:ascii="TektonMM-240-564-" w:eastAsia="TektonMM-240-564-" w:hAnsi="Syntax-Bold" w:cs="TektonMM-240-564-" w:hint="eastAsia"/>
                <w:color w:val="00461B"/>
                <w:sz w:val="24"/>
                <w:szCs w:val="24"/>
              </w:rPr>
              <w:t>–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steile helling, 10 min.</w:t>
            </w:r>
          </w:p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99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</w:tr>
      <w:tr w:rsidR="00997468" w:rsidTr="00997468">
        <w:tc>
          <w:tcPr>
            <w:tcW w:w="6912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Punten stap 3</w:t>
            </w:r>
          </w:p>
          <w:p w:rsidR="00997468" w:rsidRPr="0032446A" w:rsidRDefault="00997468" w:rsidP="00997468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*Bij intensiteit kun je voor </w:t>
            </w:r>
            <w:r w:rsidRPr="0032446A">
              <w:rPr>
                <w:rFonts w:ascii="TektonMM-240-564-" w:eastAsia="TektonMM-240-564-" w:hAnsi="Syntax-Bold" w:cs="TektonMM-240-564-" w:hint="eastAsia"/>
                <w:color w:val="00461B"/>
                <w:sz w:val="24"/>
                <w:szCs w:val="24"/>
              </w:rPr>
              <w:t>‘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>springen</w:t>
            </w:r>
            <w:r w:rsidRPr="0032446A">
              <w:rPr>
                <w:rFonts w:ascii="TektonMM-240-564-" w:eastAsia="TektonMM-240-564-" w:hAnsi="Syntax-Bold" w:cs="TektonMM-240-564-" w:hint="eastAsia"/>
                <w:color w:val="00461B"/>
                <w:sz w:val="24"/>
                <w:szCs w:val="24"/>
              </w:rPr>
              <w:t>’</w:t>
            </w:r>
            <w:r w:rsidRPr="0032446A"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  <w:t xml:space="preserve"> ook hoge dressuur aannemen.</w:t>
            </w:r>
          </w:p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468" w:rsidRP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00461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00461B"/>
                <w:sz w:val="24"/>
                <w:szCs w:val="24"/>
                <w:u w:val="single"/>
              </w:rPr>
              <w:t>0</w:t>
            </w:r>
          </w:p>
        </w:tc>
        <w:tc>
          <w:tcPr>
            <w:tcW w:w="567" w:type="dxa"/>
          </w:tcPr>
          <w:p w:rsidR="00997468" w:rsidRP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00461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00461B"/>
                <w:sz w:val="24"/>
                <w:szCs w:val="24"/>
                <w:u w:val="single"/>
              </w:rPr>
              <w:t>0</w:t>
            </w:r>
          </w:p>
        </w:tc>
        <w:tc>
          <w:tcPr>
            <w:tcW w:w="567" w:type="dxa"/>
          </w:tcPr>
          <w:p w:rsidR="00997468" w:rsidRP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b/>
                <w:color w:val="00461B"/>
                <w:sz w:val="24"/>
                <w:szCs w:val="24"/>
                <w:u w:val="single"/>
              </w:rPr>
            </w:pPr>
            <w:r w:rsidRPr="00997468">
              <w:rPr>
                <w:rFonts w:ascii="TektonMM-240-564-" w:eastAsia="TektonMM-240-564-" w:hAnsi="Syntax-Bold" w:cs="TektonMM-240-564-"/>
                <w:b/>
                <w:color w:val="00461B"/>
                <w:sz w:val="24"/>
                <w:szCs w:val="24"/>
                <w:u w:val="single"/>
              </w:rPr>
              <w:t>0</w:t>
            </w:r>
          </w:p>
        </w:tc>
        <w:tc>
          <w:tcPr>
            <w:tcW w:w="599" w:type="dxa"/>
          </w:tcPr>
          <w:p w:rsidR="00997468" w:rsidRDefault="00997468" w:rsidP="0032446A">
            <w:pPr>
              <w:autoSpaceDE w:val="0"/>
              <w:autoSpaceDN w:val="0"/>
              <w:adjustRightInd w:val="0"/>
              <w:rPr>
                <w:rFonts w:ascii="TektonMM-240-564-" w:eastAsia="TektonMM-240-564-" w:hAnsi="Syntax-Bold" w:cs="TektonMM-240-564-"/>
                <w:color w:val="00461B"/>
                <w:sz w:val="24"/>
                <w:szCs w:val="24"/>
              </w:rPr>
            </w:pPr>
          </w:p>
        </w:tc>
      </w:tr>
    </w:tbl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997468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5E398B"/>
          <w:sz w:val="24"/>
          <w:szCs w:val="24"/>
        </w:rPr>
      </w:pP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>Totaal per trainingstype =</w:t>
      </w:r>
      <w:r w:rsidR="00997468">
        <w:rPr>
          <w:rFonts w:ascii="TektonMM-240-564-" w:eastAsia="TektonMM-240-564-" w:hAnsi="Syntax-Bold" w:cs="TektonMM-240-564-"/>
          <w:color w:val="5E398B"/>
          <w:sz w:val="24"/>
          <w:szCs w:val="24"/>
        </w:rPr>
        <w:t xml:space="preserve"> </w:t>
      </w:r>
      <w:r w:rsidRPr="0032446A">
        <w:rPr>
          <w:rFonts w:ascii="TektonMM-240-564-" w:eastAsia="TektonMM-240-564-" w:hAnsi="Syntax-Bold" w:cs="TektonMM-240-564-"/>
          <w:color w:val="5E398B"/>
          <w:sz w:val="24"/>
          <w:szCs w:val="24"/>
        </w:rPr>
        <w:t xml:space="preserve">punten stap 1 + punten stap 2 + punten stap </w:t>
      </w:r>
      <w:r w:rsidR="00997468">
        <w:rPr>
          <w:rFonts w:ascii="TektonMM-240-564-" w:eastAsia="TektonMM-240-564-" w:hAnsi="Syntax-Bold" w:cs="TektonMM-240-564-"/>
          <w:color w:val="5E398B"/>
          <w:sz w:val="24"/>
          <w:szCs w:val="24"/>
        </w:rPr>
        <w:t xml:space="preserve">( voorbeeld is dus: </w:t>
      </w:r>
      <w:r w:rsidRPr="00997468">
        <w:rPr>
          <w:rFonts w:ascii="TektonMM-240-564-" w:eastAsia="TektonMM-240-564-" w:hAnsi="Syntax-Bold" w:cs="TektonMM-240-564-"/>
          <w:b/>
          <w:color w:val="5E398B"/>
          <w:sz w:val="24"/>
          <w:szCs w:val="24"/>
        </w:rPr>
        <w:t xml:space="preserve">3 </w:t>
      </w:r>
      <w:r w:rsidRPr="00997468">
        <w:rPr>
          <w:rFonts w:ascii="TektonMM-240-564-" w:eastAsia="TektonMM-240-564-" w:hAnsi="Syntax-Bold" w:cs="TektonMM-240-564-"/>
          <w:b/>
          <w:color w:val="00461B"/>
          <w:sz w:val="24"/>
          <w:szCs w:val="24"/>
        </w:rPr>
        <w:t>7 6 7= 20</w:t>
      </w:r>
      <w:r w:rsidR="00997468">
        <w:rPr>
          <w:rFonts w:ascii="TektonMM-240-564-" w:eastAsia="TektonMM-240-564-" w:hAnsi="Syntax-Bold" w:cs="TektonMM-240-564-"/>
          <w:color w:val="00461B"/>
          <w:sz w:val="24"/>
          <w:szCs w:val="24"/>
        </w:rPr>
        <w:t>)</w:t>
      </w:r>
    </w:p>
    <w:p w:rsidR="009C7D5C" w:rsidRPr="0032446A" w:rsidRDefault="009C7D5C" w:rsidP="0032446A">
      <w:pPr>
        <w:autoSpaceDE w:val="0"/>
        <w:autoSpaceDN w:val="0"/>
        <w:adjustRightInd w:val="0"/>
        <w:spacing w:after="0" w:line="240" w:lineRule="auto"/>
        <w:rPr>
          <w:rFonts w:ascii="TektonMM-240-564-" w:eastAsia="TektonMM-240-564-" w:hAnsi="Syntax-Bold" w:cs="TektonMM-240-564-"/>
          <w:color w:val="00461B"/>
          <w:sz w:val="24"/>
          <w:szCs w:val="24"/>
        </w:rPr>
      </w:pP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4.11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5E398B"/>
          <w:sz w:val="24"/>
          <w:szCs w:val="24"/>
        </w:rPr>
      </w:pPr>
      <w:r w:rsidRPr="0032446A">
        <w:rPr>
          <w:rFonts w:ascii="TektonMM-503-488-" w:hAnsi="TektonMM-503-488-" w:cs="TektonMM-503-488-"/>
          <w:b/>
          <w:bCs/>
          <w:color w:val="5E398B"/>
          <w:sz w:val="24"/>
          <w:szCs w:val="24"/>
        </w:rPr>
        <w:t>Stap 4.</w:t>
      </w:r>
      <w:r w:rsidR="004348EF">
        <w:rPr>
          <w:rFonts w:ascii="TektonMM-503-488-" w:hAnsi="TektonMM-503-488-" w:cs="TektonMM-503-488-"/>
          <w:b/>
          <w:bCs/>
          <w:color w:val="5E398B"/>
          <w:sz w:val="24"/>
          <w:szCs w:val="24"/>
        </w:rPr>
        <w:t xml:space="preserve"> </w:t>
      </w:r>
      <w:r w:rsidRPr="0032446A">
        <w:rPr>
          <w:rFonts w:ascii="TektonMM-503-488-" w:hAnsi="TektonMM-503-488-" w:cs="TektonMM-503-488-"/>
          <w:b/>
          <w:bCs/>
          <w:color w:val="5E398B"/>
          <w:sz w:val="24"/>
          <w:szCs w:val="24"/>
        </w:rPr>
        <w:t>Bereken de voedingsscore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5E398B"/>
          <w:sz w:val="24"/>
          <w:szCs w:val="24"/>
        </w:rPr>
      </w:pPr>
      <w:r w:rsidRPr="0032446A">
        <w:rPr>
          <w:rFonts w:ascii="TektonMM-503-488-" w:hAnsi="TektonMM-503-488-" w:cs="TektonMM-503-488-"/>
          <w:b/>
          <w:bCs/>
          <w:color w:val="5E398B"/>
          <w:sz w:val="24"/>
          <w:szCs w:val="24"/>
        </w:rPr>
        <w:t>per type training.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De voedingsscore is een eenvoudig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hulpmiddel om het arbeidsniveau en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de energiebehoefte van je paard te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bepalen. In dit boek wordt verder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gesproken over arbeidsscore. Dit zijn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geen getallen, maar woorden als lichte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arbeid of zware arbeid. In het volgende</w:t>
      </w:r>
    </w:p>
    <w:p w:rsidR="0032446A" w:rsidRP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overzichtje kun je opzoeken welke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score bij welk arbeidsscore hoort.</w:t>
      </w: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</w:p>
    <w:p w:rsidR="00440EF7" w:rsidRDefault="00440EF7" w:rsidP="00440EF7">
      <w:pPr>
        <w:autoSpaceDE w:val="0"/>
        <w:autoSpaceDN w:val="0"/>
        <w:adjustRightInd w:val="0"/>
        <w:spacing w:after="0" w:line="240" w:lineRule="auto"/>
        <w:jc w:val="center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TektonMM-503-488-" w:hAnsi="TektonMM-503-488-" w:cs="TektonMM-503-488-"/>
          <w:b/>
          <w:bCs/>
          <w:color w:val="00461B"/>
          <w:sz w:val="24"/>
          <w:szCs w:val="24"/>
        </w:rPr>
        <w:t>Beoordelen van de arbeidsscore</w:t>
      </w:r>
    </w:p>
    <w:p w:rsidR="004348EF" w:rsidRDefault="004348EF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Ligt jouw score tussen: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Dan is de gemiddelde score: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0-10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zeer lichte arbeid (ZLA)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10-17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lichte arbeid (LA)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18-22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proofErr w:type="spellStart"/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lichte-medium</w:t>
            </w:r>
            <w:proofErr w:type="spellEnd"/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 xml:space="preserve"> arbeid (LMA)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23-30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medium arbeid (MA)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31-37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proofErr w:type="spellStart"/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medium-zware</w:t>
            </w:r>
            <w:proofErr w:type="spellEnd"/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 xml:space="preserve"> arbeid (MZA)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38-45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zware arbeid (ZA)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  <w:tr w:rsidR="004348EF" w:rsidTr="004348EF">
        <w:tc>
          <w:tcPr>
            <w:tcW w:w="4606" w:type="dxa"/>
          </w:tcPr>
          <w:p w:rsidR="004348EF" w:rsidRPr="0032446A" w:rsidRDefault="004348EF" w:rsidP="004348EF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45 en meer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zeer zware arbeid (ZZA)</w:t>
            </w:r>
          </w:p>
          <w:p w:rsidR="004348EF" w:rsidRDefault="004348EF" w:rsidP="0032446A">
            <w:pPr>
              <w:autoSpaceDE w:val="0"/>
              <w:autoSpaceDN w:val="0"/>
              <w:adjustRightInd w:val="0"/>
              <w:rPr>
                <w:rFonts w:ascii="Dax-Light" w:hAnsi="Dax-Light" w:cs="Dax-Light"/>
                <w:color w:val="231F20"/>
                <w:sz w:val="24"/>
                <w:szCs w:val="24"/>
              </w:rPr>
            </w:pPr>
          </w:p>
        </w:tc>
      </w:tr>
    </w:tbl>
    <w:p w:rsidR="004348EF" w:rsidRPr="0032446A" w:rsidRDefault="004348EF" w:rsidP="0032446A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440EF7" w:rsidRPr="0032446A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</w:p>
    <w:p w:rsidR="006937A7" w:rsidRPr="0032446A" w:rsidRDefault="006937A7" w:rsidP="006937A7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5E398B"/>
          <w:sz w:val="24"/>
          <w:szCs w:val="24"/>
        </w:rPr>
      </w:pPr>
      <w:r w:rsidRPr="0032446A">
        <w:rPr>
          <w:rFonts w:ascii="TektonMM-503-488-" w:hAnsi="TektonMM-503-488-" w:cs="TektonMM-503-488-"/>
          <w:b/>
          <w:bCs/>
          <w:color w:val="5E398B"/>
          <w:sz w:val="24"/>
          <w:szCs w:val="24"/>
        </w:rPr>
        <w:lastRenderedPageBreak/>
        <w:t>Stap 5.</w:t>
      </w:r>
    </w:p>
    <w:p w:rsidR="006937A7" w:rsidRPr="0032446A" w:rsidRDefault="006937A7" w:rsidP="006937A7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5E398B"/>
          <w:sz w:val="24"/>
          <w:szCs w:val="24"/>
        </w:rPr>
      </w:pPr>
      <w:r w:rsidRPr="0032446A">
        <w:rPr>
          <w:rFonts w:ascii="TektonMM-503-488-" w:hAnsi="TektonMM-503-488-" w:cs="TektonMM-503-488-"/>
          <w:b/>
          <w:bCs/>
          <w:color w:val="5E398B"/>
          <w:sz w:val="24"/>
          <w:szCs w:val="24"/>
        </w:rPr>
        <w:t>De energiebehoefte van je paard.</w:t>
      </w:r>
    </w:p>
    <w:p w:rsidR="006937A7" w:rsidRPr="0032446A" w:rsidRDefault="006937A7" w:rsidP="006937A7">
      <w:pPr>
        <w:autoSpaceDE w:val="0"/>
        <w:autoSpaceDN w:val="0"/>
        <w:adjustRightInd w:val="0"/>
        <w:spacing w:after="0" w:line="240" w:lineRule="auto"/>
        <w:rPr>
          <w:rFonts w:ascii="Dax-Light" w:hAnsi="Dax-Light" w:cs="Dax-Light"/>
          <w:color w:val="231F20"/>
          <w:sz w:val="24"/>
          <w:szCs w:val="24"/>
        </w:rPr>
      </w:pPr>
      <w:r w:rsidRPr="0032446A">
        <w:rPr>
          <w:rFonts w:ascii="Dax-Light" w:hAnsi="Dax-Light" w:cs="Dax-Light"/>
          <w:color w:val="231F20"/>
          <w:sz w:val="24"/>
          <w:szCs w:val="24"/>
        </w:rPr>
        <w:t>Vanuit de arbeidsscore kun je inschatten hoeveel energie jouw paard verbruikt. De hier gebruikte</w:t>
      </w:r>
      <w:r>
        <w:rPr>
          <w:rFonts w:ascii="Dax-Light" w:hAnsi="Dax-Light" w:cs="Dax-Light"/>
          <w:color w:val="231F20"/>
          <w:sz w:val="24"/>
          <w:szCs w:val="24"/>
        </w:rPr>
        <w:t xml:space="preserve"> </w:t>
      </w:r>
      <w:r w:rsidRPr="0032446A">
        <w:rPr>
          <w:rFonts w:ascii="Dax-Light" w:hAnsi="Dax-Light" w:cs="Dax-Light"/>
          <w:color w:val="231F20"/>
          <w:sz w:val="24"/>
          <w:szCs w:val="24"/>
        </w:rPr>
        <w:t>afkortingen voor</w:t>
      </w:r>
      <w:r>
        <w:rPr>
          <w:rFonts w:ascii="Dax-Light" w:hAnsi="Dax-Light" w:cs="Dax-Light"/>
          <w:color w:val="231F20"/>
          <w:sz w:val="24"/>
          <w:szCs w:val="24"/>
        </w:rPr>
        <w:t xml:space="preserve"> arbeidsscores komen</w:t>
      </w:r>
      <w:r w:rsidRPr="0032446A">
        <w:rPr>
          <w:rFonts w:ascii="Dax-Light" w:hAnsi="Dax-Light" w:cs="Dax-Light"/>
          <w:color w:val="231F20"/>
          <w:sz w:val="24"/>
          <w:szCs w:val="24"/>
        </w:rPr>
        <w:t xml:space="preserve"> regelmatig terug.</w:t>
      </w:r>
    </w:p>
    <w:p w:rsidR="006937A7" w:rsidRPr="0032446A" w:rsidRDefault="006937A7" w:rsidP="006937A7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De berekende intensiteit van het werk geeft aan hoeveel energie je paard nodig heeft.</w:t>
      </w:r>
      <w:r>
        <w:rPr>
          <w:rFonts w:ascii="Syntax-Roman" w:hAnsi="Syntax-Roman" w:cs="Syntax-Roman"/>
          <w:color w:val="231F20"/>
          <w:sz w:val="24"/>
          <w:szCs w:val="24"/>
        </w:rPr>
        <w:t xml:space="preserve"> </w:t>
      </w:r>
      <w:r w:rsidRPr="0032446A">
        <w:rPr>
          <w:rFonts w:ascii="Syntax-Roman" w:hAnsi="Syntax-Roman" w:cs="Syntax-Roman"/>
          <w:color w:val="231F20"/>
          <w:sz w:val="24"/>
          <w:szCs w:val="24"/>
        </w:rPr>
        <w:t>Maar dan weet je nog niet welk voer je moet geven.</w:t>
      </w:r>
    </w:p>
    <w:p w:rsidR="006937A7" w:rsidRPr="0032446A" w:rsidRDefault="006937A7" w:rsidP="006937A7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231F20"/>
          <w:sz w:val="24"/>
          <w:szCs w:val="24"/>
        </w:rPr>
      </w:pPr>
      <w:r w:rsidRPr="0032446A">
        <w:rPr>
          <w:rFonts w:ascii="Syntax-Roman" w:hAnsi="Syntax-Roman" w:cs="Syntax-Roman"/>
          <w:color w:val="231F20"/>
          <w:sz w:val="24"/>
          <w:szCs w:val="24"/>
        </w:rPr>
        <w:t>Dit hangt af van het ras, de intensiteit en de duur van de training.</w:t>
      </w:r>
    </w:p>
    <w:p w:rsidR="006937A7" w:rsidRDefault="006937A7" w:rsidP="00440EF7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40EF7" w:rsidRPr="0032446A" w:rsidRDefault="0032446A" w:rsidP="00440EF7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00461B"/>
          <w:sz w:val="24"/>
          <w:szCs w:val="24"/>
        </w:rPr>
      </w:pPr>
      <w:r w:rsidRPr="0032446A">
        <w:rPr>
          <w:rFonts w:ascii="MOA-BlackItalic" w:hAnsi="MOA-BlackItalic" w:cs="MOA-BlackItalic"/>
          <w:i/>
          <w:iCs/>
          <w:color w:val="231F20"/>
          <w:sz w:val="24"/>
          <w:szCs w:val="24"/>
        </w:rPr>
        <w:t>Fig. 4.12</w:t>
      </w:r>
      <w:r w:rsidR="00440EF7" w:rsidRPr="00440EF7">
        <w:rPr>
          <w:rFonts w:ascii="TektonMM-503-488-" w:hAnsi="TektonMM-503-488-" w:cs="TektonMM-503-488-"/>
          <w:b/>
          <w:bCs/>
          <w:color w:val="00461B"/>
          <w:sz w:val="24"/>
          <w:szCs w:val="24"/>
        </w:rPr>
        <w:t xml:space="preserve"> </w:t>
      </w:r>
      <w:r w:rsidR="00440EF7">
        <w:rPr>
          <w:rFonts w:ascii="TektonMM-503-488-" w:hAnsi="TektonMM-503-488-" w:cs="TektonMM-503-488-"/>
          <w:b/>
          <w:bCs/>
          <w:color w:val="00461B"/>
          <w:sz w:val="24"/>
          <w:szCs w:val="24"/>
        </w:rPr>
        <w:t xml:space="preserve"> </w:t>
      </w:r>
      <w:r w:rsidR="00440EF7" w:rsidRPr="0032446A">
        <w:rPr>
          <w:rFonts w:ascii="TektonMM-503-488-" w:hAnsi="TektonMM-503-488-" w:cs="TektonMM-503-488-"/>
          <w:b/>
          <w:bCs/>
          <w:color w:val="00461B"/>
          <w:sz w:val="24"/>
          <w:szCs w:val="24"/>
        </w:rPr>
        <w:t>Energiebehoefte van een paard in relatie tot arbeid</w:t>
      </w:r>
    </w:p>
    <w:p w:rsidR="0032446A" w:rsidRDefault="0032446A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1830"/>
        <w:gridCol w:w="1327"/>
        <w:gridCol w:w="709"/>
        <w:gridCol w:w="777"/>
        <w:gridCol w:w="1007"/>
        <w:gridCol w:w="995"/>
        <w:gridCol w:w="1063"/>
        <w:gridCol w:w="790"/>
        <w:gridCol w:w="790"/>
      </w:tblGrid>
      <w:tr w:rsidR="00440EF7" w:rsidTr="00440EF7"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Energiebehoefte</w:t>
            </w:r>
          </w:p>
        </w:tc>
        <w:tc>
          <w:tcPr>
            <w:tcW w:w="1023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(</w:t>
            </w:r>
            <w:proofErr w:type="spellStart"/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EWpa</w:t>
            </w:r>
            <w:proofErr w:type="spellEnd"/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)</w:t>
            </w:r>
          </w:p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ZLA</w:t>
            </w:r>
          </w:p>
        </w:tc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LA</w:t>
            </w:r>
          </w:p>
        </w:tc>
        <w:tc>
          <w:tcPr>
            <w:tcW w:w="1024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LMA</w:t>
            </w:r>
          </w:p>
        </w:tc>
        <w:tc>
          <w:tcPr>
            <w:tcW w:w="1024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MA</w:t>
            </w:r>
          </w:p>
        </w:tc>
        <w:tc>
          <w:tcPr>
            <w:tcW w:w="1024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MZA</w:t>
            </w:r>
          </w:p>
        </w:tc>
        <w:tc>
          <w:tcPr>
            <w:tcW w:w="1024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ZA</w:t>
            </w:r>
          </w:p>
        </w:tc>
        <w:tc>
          <w:tcPr>
            <w:tcW w:w="1024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ZZA</w:t>
            </w:r>
          </w:p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</w:tr>
      <w:tr w:rsidR="00440EF7" w:rsidTr="00440EF7"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Gewicht</w:t>
            </w:r>
          </w:p>
        </w:tc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Onderhoud</w:t>
            </w:r>
          </w:p>
        </w:tc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Zeer Licht</w:t>
            </w:r>
          </w:p>
        </w:tc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Licht-</w:t>
            </w:r>
          </w:p>
        </w:tc>
        <w:tc>
          <w:tcPr>
            <w:tcW w:w="1024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licht medium</w:t>
            </w:r>
          </w:p>
        </w:tc>
        <w:tc>
          <w:tcPr>
            <w:tcW w:w="1024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Medium</w:t>
            </w:r>
          </w:p>
        </w:tc>
        <w:tc>
          <w:tcPr>
            <w:tcW w:w="1024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Medium- Zwaar</w:t>
            </w:r>
          </w:p>
        </w:tc>
        <w:tc>
          <w:tcPr>
            <w:tcW w:w="1024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zwaar</w:t>
            </w:r>
          </w:p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024" w:type="dxa"/>
          </w:tcPr>
          <w:p w:rsidR="00440EF7" w:rsidRPr="0032446A" w:rsidRDefault="00440EF7" w:rsidP="00440EF7">
            <w:pPr>
              <w:autoSpaceDE w:val="0"/>
              <w:autoSpaceDN w:val="0"/>
              <w:adjustRightInd w:val="0"/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Zeer</w:t>
            </w:r>
          </w:p>
          <w:p w:rsidR="00440EF7" w:rsidRDefault="00440EF7" w:rsidP="00440EF7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zwaar</w:t>
            </w:r>
          </w:p>
        </w:tc>
      </w:tr>
      <w:tr w:rsidR="00440EF7" w:rsidTr="00440EF7"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200</w:t>
            </w:r>
          </w:p>
        </w:tc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2,19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2,31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2,54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2,74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3,00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3,22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3,91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4,48</w:t>
            </w:r>
          </w:p>
        </w:tc>
      </w:tr>
      <w:tr w:rsidR="00440EF7" w:rsidTr="00440EF7"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400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 w:rsidRPr="00C13687"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3,68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3,87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4,30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4,67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5,16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5,54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6,82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7,86</w:t>
            </w:r>
          </w:p>
        </w:tc>
      </w:tr>
      <w:tr w:rsidR="00440EF7" w:rsidTr="00440EF7">
        <w:tc>
          <w:tcPr>
            <w:tcW w:w="1023" w:type="dxa"/>
          </w:tcPr>
          <w:p w:rsidR="00440EF7" w:rsidRDefault="00440EF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color w:val="231F20"/>
                <w:sz w:val="24"/>
                <w:szCs w:val="24"/>
              </w:rPr>
            </w:pPr>
            <w:r w:rsidRPr="0032446A">
              <w:rPr>
                <w:rFonts w:ascii="TektonMM-503-488-" w:hAnsi="TektonMM-503-488-" w:cs="TektonMM-503-488-"/>
                <w:b/>
                <w:bCs/>
                <w:color w:val="00461B"/>
                <w:sz w:val="24"/>
                <w:szCs w:val="24"/>
              </w:rPr>
              <w:t>600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4,98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5,23</w:t>
            </w:r>
          </w:p>
        </w:tc>
        <w:tc>
          <w:tcPr>
            <w:tcW w:w="1023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5,87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6,41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7,14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7,70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9,60</w:t>
            </w:r>
          </w:p>
        </w:tc>
        <w:tc>
          <w:tcPr>
            <w:tcW w:w="1024" w:type="dxa"/>
          </w:tcPr>
          <w:p w:rsidR="00440EF7" w:rsidRPr="00C13687" w:rsidRDefault="00C13687" w:rsidP="0032446A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MOA-BlackItalic" w:hAnsi="MOA-BlackItalic" w:cs="MOA-BlackItalic"/>
                <w:b/>
                <w:i/>
                <w:iCs/>
                <w:color w:val="231F20"/>
                <w:sz w:val="24"/>
                <w:szCs w:val="24"/>
              </w:rPr>
              <w:t>11,11</w:t>
            </w:r>
          </w:p>
        </w:tc>
      </w:tr>
    </w:tbl>
    <w:p w:rsidR="00440EF7" w:rsidRPr="0032446A" w:rsidRDefault="00440EF7" w:rsidP="0032446A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color w:val="231F20"/>
          <w:sz w:val="24"/>
          <w:szCs w:val="24"/>
        </w:rPr>
      </w:pPr>
    </w:p>
    <w:p w:rsidR="00440EF7" w:rsidRDefault="00440EF7" w:rsidP="0032446A">
      <w:pPr>
        <w:autoSpaceDE w:val="0"/>
        <w:autoSpaceDN w:val="0"/>
        <w:adjustRightInd w:val="0"/>
        <w:spacing w:after="0" w:line="240" w:lineRule="auto"/>
        <w:rPr>
          <w:rFonts w:ascii="TektonMM-503-488-" w:hAnsi="TektonMM-503-488-" w:cs="TektonMM-503-488-"/>
          <w:b/>
          <w:bCs/>
          <w:color w:val="5E398B"/>
          <w:sz w:val="24"/>
          <w:szCs w:val="24"/>
        </w:rPr>
      </w:pPr>
    </w:p>
    <w:sectPr w:rsidR="00440EF7" w:rsidSect="00D3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nt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A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ektonMM-503-488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MM-240-564-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ax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E83"/>
    <w:multiLevelType w:val="hybridMultilevel"/>
    <w:tmpl w:val="8076B77A"/>
    <w:lvl w:ilvl="0" w:tplc="99887A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363"/>
    <w:multiLevelType w:val="hybridMultilevel"/>
    <w:tmpl w:val="8076B77A"/>
    <w:lvl w:ilvl="0" w:tplc="99887A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278A"/>
    <w:multiLevelType w:val="hybridMultilevel"/>
    <w:tmpl w:val="61DCAC86"/>
    <w:lvl w:ilvl="0" w:tplc="8FEE2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46A"/>
    <w:rsid w:val="0030676D"/>
    <w:rsid w:val="0032446A"/>
    <w:rsid w:val="004348EF"/>
    <w:rsid w:val="00440EF7"/>
    <w:rsid w:val="00473F99"/>
    <w:rsid w:val="006937A7"/>
    <w:rsid w:val="00867586"/>
    <w:rsid w:val="008D5CB9"/>
    <w:rsid w:val="00997468"/>
    <w:rsid w:val="009C7D5C"/>
    <w:rsid w:val="00B86358"/>
    <w:rsid w:val="00C13687"/>
    <w:rsid w:val="00C1470C"/>
    <w:rsid w:val="00D3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7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4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2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C7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1985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4</cp:revision>
  <dcterms:created xsi:type="dcterms:W3CDTF">2011-11-08T09:58:00Z</dcterms:created>
  <dcterms:modified xsi:type="dcterms:W3CDTF">2011-11-10T10:12:00Z</dcterms:modified>
</cp:coreProperties>
</file>